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2C" w:rsidRDefault="00831C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6E042C" w:rsidRDefault="006E042C">
      <w:pPr>
        <w:jc w:val="center"/>
        <w:rPr>
          <w:sz w:val="16"/>
          <w:szCs w:val="16"/>
        </w:rPr>
      </w:pPr>
    </w:p>
    <w:p w:rsidR="006E042C" w:rsidRDefault="006E042C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6E042C">
        <w:tc>
          <w:tcPr>
            <w:tcW w:w="1947" w:type="pct"/>
            <w:tcBorders>
              <w:bottom w:val="thickThinSmallGap" w:sz="12" w:space="0" w:color="404040"/>
            </w:tcBorders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tcBorders>
              <w:bottom w:val="thickThinSmallGap" w:sz="12" w:space="0" w:color="404040"/>
            </w:tcBorders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6E042C">
        <w:tc>
          <w:tcPr>
            <w:tcW w:w="1947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shd w:val="clear" w:color="auto" w:fill="auto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 xml:space="preserve">“Mediazione per l’Intercultura e la </w:t>
            </w:r>
            <w:r>
              <w:rPr>
                <w:b w:val="0"/>
                <w:sz w:val="20"/>
              </w:rPr>
              <w:t>coesione sociale in Europa” MICSE  CLASSE L-39</w:t>
            </w:r>
          </w:p>
        </w:tc>
      </w:tr>
      <w:tr w:rsidR="006E042C">
        <w:tc>
          <w:tcPr>
            <w:tcW w:w="1947" w:type="pct"/>
            <w:tcBorders>
              <w:top w:val="thickThinSmallGap" w:sz="12" w:space="0" w:color="404040"/>
            </w:tcBorders>
            <w:shd w:val="clear" w:color="auto" w:fill="auto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  <w:tcBorders>
              <w:top w:val="thickThinSmallGap" w:sz="12" w:space="0" w:color="404040"/>
            </w:tcBorders>
            <w:shd w:val="clear" w:color="auto" w:fill="auto"/>
          </w:tcPr>
          <w:p w:rsidR="006E042C" w:rsidRDefault="00831C5C">
            <w:pPr>
              <w:pStyle w:val="Titolo"/>
              <w:spacing w:before="120" w:after="120"/>
              <w:ind w:left="360" w:right="113" w:hanging="360"/>
              <w:jc w:val="left"/>
              <w:rPr>
                <w:sz w:val="20"/>
              </w:rPr>
            </w:pPr>
            <w:r>
              <w:rPr>
                <w:sz w:val="20"/>
              </w:rPr>
              <w:t>2018/2019</w:t>
            </w:r>
          </w:p>
        </w:tc>
      </w:tr>
      <w:tr w:rsidR="006E042C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Principi e fondamenti dei servizi sociali</w:t>
            </w:r>
          </w:p>
        </w:tc>
      </w:tr>
      <w:tr w:rsidR="006E042C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6E042C" w:rsidRDefault="006E042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of social work</w:t>
            </w:r>
          </w:p>
        </w:tc>
      </w:tr>
      <w:tr w:rsidR="006E042C">
        <w:tc>
          <w:tcPr>
            <w:tcW w:w="1947" w:type="pct"/>
            <w:shd w:val="clear" w:color="auto" w:fill="auto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  <w:shd w:val="clear" w:color="auto" w:fill="auto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Annuale</w:t>
            </w: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354BC3">
              <w:rPr>
                <w:b w:val="0"/>
                <w:sz w:val="20"/>
              </w:rPr>
              <w:t>42</w:t>
            </w: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SPS/07</w:t>
            </w: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6E042C" w:rsidRDefault="00831C5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C7F04">
              <w:rPr>
                <w:sz w:val="20"/>
              </w:rPr>
              <w:t>7</w:t>
            </w:r>
            <w:bookmarkStart w:id="0" w:name="_GoBack"/>
            <w:bookmarkEnd w:id="0"/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6E042C" w:rsidRDefault="00831C5C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6E042C" w:rsidRDefault="00831C5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</w:rPr>
              <w:t>RITA CUTINI</w:t>
            </w: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hyperlink r:id="rId7" w:history="1">
              <w:r>
                <w:rPr>
                  <w:rStyle w:val="Collegamentoipertestuale"/>
                  <w:sz w:val="20"/>
                </w:rPr>
                <w:t>cutini@unistrada.it</w:t>
              </w:r>
            </w:hyperlink>
          </w:p>
        </w:tc>
      </w:tr>
      <w:tr w:rsidR="006E042C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  <w:r>
              <w:rPr>
                <w:b w:val="0"/>
                <w:i/>
                <w:sz w:val="20"/>
              </w:rPr>
              <w:t xml:space="preserve">Massimo 1900 caratteri, spazi inclusi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E042C" w:rsidRDefault="00831C5C">
            <w:r>
              <w:rPr>
                <w:sz w:val="20"/>
                <w:szCs w:val="20"/>
              </w:rPr>
              <w:t>Italiano:</w:t>
            </w:r>
            <w:r>
              <w:t xml:space="preserve"> </w:t>
            </w:r>
          </w:p>
          <w:p w:rsidR="006E042C" w:rsidRDefault="006E042C">
            <w:pPr>
              <w:jc w:val="both"/>
              <w:rPr>
                <w:sz w:val="20"/>
                <w:szCs w:val="20"/>
                <w:u w:val="single"/>
              </w:rPr>
            </w:pPr>
          </w:p>
          <w:p w:rsidR="006E042C" w:rsidRDefault="00831C5C">
            <w:pPr>
              <w:pStyle w:val="Titolo1"/>
              <w:numPr>
                <w:ilvl w:val="0"/>
                <w:numId w:val="12"/>
              </w:numPr>
              <w:spacing w:before="0" w:after="0"/>
              <w:rPr>
                <w:rFonts w:ascii="Times New Roman" w:eastAsia="Symbol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sz w:val="20"/>
                <w:szCs w:val="20"/>
              </w:rPr>
              <w:t>La “povertà” e le risposte istituzionali: evoluzione storica e dibattito attuale</w:t>
            </w:r>
          </w:p>
          <w:p w:rsidR="006E042C" w:rsidRDefault="00831C5C">
            <w:pPr>
              <w:pStyle w:val="Titolo1"/>
              <w:numPr>
                <w:ilvl w:val="0"/>
                <w:numId w:val="12"/>
              </w:numPr>
              <w:spacing w:before="0" w:after="0"/>
              <w:rPr>
                <w:rFonts w:ascii="Times New Roman" w:eastAsia="Symbol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 w:val="0"/>
                <w:sz w:val="20"/>
                <w:szCs w:val="20"/>
              </w:rPr>
              <w:t>Origini e evoluzione storica del servizio sociale professionale</w:t>
            </w:r>
          </w:p>
          <w:p w:rsidR="006E042C" w:rsidRDefault="00831C5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fondamenti del servizio sociale e della professione dell’assistente sociale</w:t>
            </w:r>
          </w:p>
          <w:p w:rsidR="006E042C" w:rsidRDefault="00831C5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aspetti etici e deontologici della professione di assistente sociale</w:t>
            </w:r>
          </w:p>
          <w:p w:rsidR="006E042C" w:rsidRDefault="00831C5C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dimensioni etiche nella relazione di aiuto</w:t>
            </w:r>
          </w:p>
          <w:p w:rsidR="006E042C" w:rsidRDefault="006E042C" w:rsidP="00354BC3">
            <w:pPr>
              <w:rPr>
                <w:sz w:val="20"/>
                <w:szCs w:val="20"/>
              </w:rPr>
            </w:pPr>
          </w:p>
        </w:tc>
      </w:tr>
      <w:tr w:rsidR="006E042C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6E042C" w:rsidRDefault="006E042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6E042C" w:rsidRDefault="00831C5C">
            <w:r>
              <w:rPr>
                <w:sz w:val="20"/>
                <w:szCs w:val="20"/>
              </w:rPr>
              <w:t>Inglese:</w:t>
            </w:r>
            <w:r>
              <w:t xml:space="preserve"> </w:t>
            </w:r>
          </w:p>
          <w:p w:rsidR="006E042C" w:rsidRDefault="00831C5C">
            <w:pPr>
              <w:pStyle w:val="Titolo1"/>
              <w:numPr>
                <w:ilvl w:val="0"/>
                <w:numId w:val="15"/>
              </w:numPr>
              <w:spacing w:before="0" w:after="0"/>
              <w:rPr>
                <w:rFonts w:ascii="Times New Roman" w:eastAsia="Symbol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eastAsia="Symbol" w:hAnsi="Times New Roman" w:cs="Times New Roman"/>
                <w:b w:val="0"/>
                <w:sz w:val="20"/>
                <w:szCs w:val="20"/>
                <w:lang w:val="en-GB"/>
              </w:rPr>
              <w:t>"Poverty" and institutional responses: history and current debate</w:t>
            </w:r>
          </w:p>
          <w:p w:rsidR="006E042C" w:rsidRDefault="00831C5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>
              <w:rPr>
                <w:rFonts w:eastAsia="Symbol"/>
                <w:bCs/>
                <w:sz w:val="20"/>
                <w:szCs w:val="20"/>
                <w:lang w:val="en-GB"/>
              </w:rPr>
              <w:t>Origin and historical development of professional social work</w:t>
            </w:r>
          </w:p>
          <w:p w:rsidR="006E042C" w:rsidRDefault="00831C5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>
              <w:rPr>
                <w:rFonts w:eastAsia="Symbol"/>
                <w:bCs/>
                <w:sz w:val="20"/>
                <w:szCs w:val="20"/>
                <w:lang w:val="en-GB"/>
              </w:rPr>
              <w:t>The foundations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 of social work and 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of 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the 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>social worker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 profession</w:t>
            </w:r>
          </w:p>
          <w:p w:rsidR="006E042C" w:rsidRDefault="00831C5C">
            <w:pPr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The ethical and deontological aspects of the 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>social worker</w:t>
            </w:r>
            <w:r>
              <w:rPr>
                <w:rFonts w:eastAsia="Symbol"/>
                <w:bCs/>
                <w:sz w:val="20"/>
                <w:szCs w:val="20"/>
                <w:lang w:val="en-GB"/>
              </w:rPr>
              <w:t xml:space="preserve"> profession</w:t>
            </w:r>
          </w:p>
          <w:p w:rsidR="006E042C" w:rsidRDefault="00831C5C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ethical dimensions in the helping relationship</w:t>
            </w:r>
          </w:p>
          <w:p w:rsidR="006E042C" w:rsidRDefault="006E042C">
            <w:pPr>
              <w:rPr>
                <w:sz w:val="20"/>
                <w:szCs w:val="20"/>
              </w:rPr>
            </w:pP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Elisabetta </w:t>
            </w:r>
            <w:proofErr w:type="gramStart"/>
            <w:r>
              <w:rPr>
                <w:sz w:val="20"/>
                <w:szCs w:val="20"/>
              </w:rPr>
              <w:t xml:space="preserve">Neve,  </w:t>
            </w:r>
            <w:r>
              <w:rPr>
                <w:i/>
                <w:sz w:val="20"/>
                <w:szCs w:val="20"/>
              </w:rPr>
              <w:t>Il</w:t>
            </w:r>
            <w:proofErr w:type="gramEnd"/>
            <w:r>
              <w:rPr>
                <w:i/>
                <w:sz w:val="20"/>
                <w:szCs w:val="20"/>
              </w:rPr>
              <w:t xml:space="preserve"> Servizio Sociale. </w:t>
            </w:r>
            <w:r>
              <w:rPr>
                <w:i/>
                <w:sz w:val="20"/>
                <w:szCs w:val="20"/>
              </w:rPr>
              <w:t>Fondamenti e cultura di una professione,</w:t>
            </w:r>
            <w:r>
              <w:rPr>
                <w:sz w:val="20"/>
                <w:szCs w:val="20"/>
              </w:rPr>
              <w:t xml:space="preserve"> Carocci, Roma 2008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-Rita Cutini, Promuovere la democrazia. Storia degli assistenti sociali nell’Italia del secondo dopoguerra (1944-1960), Viella, Roma 2018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Codice deontologico del Servizio Sociale</w:t>
            </w:r>
            <w:r>
              <w:rPr>
                <w:sz w:val="20"/>
                <w:szCs w:val="20"/>
              </w:rPr>
              <w:t xml:space="preserve"> (testo 2009)</w:t>
            </w:r>
          </w:p>
          <w:p w:rsidR="006E042C" w:rsidRDefault="006E042C">
            <w:pPr>
              <w:rPr>
                <w:sz w:val="20"/>
                <w:szCs w:val="20"/>
                <w:u w:val="single"/>
              </w:rPr>
            </w:pPr>
          </w:p>
          <w:p w:rsidR="006E042C" w:rsidRDefault="00831C5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</w:t>
            </w:r>
            <w:r>
              <w:rPr>
                <w:sz w:val="20"/>
                <w:szCs w:val="20"/>
                <w:u w:val="single"/>
              </w:rPr>
              <w:t xml:space="preserve">no a scelta tra i testi di approfondimento 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Stefani (a cura di) </w:t>
            </w:r>
            <w:r>
              <w:rPr>
                <w:i/>
                <w:sz w:val="20"/>
                <w:szCs w:val="20"/>
              </w:rPr>
              <w:t>Le origini del servizio sociale italiano,</w:t>
            </w:r>
            <w:r>
              <w:rPr>
                <w:sz w:val="20"/>
                <w:szCs w:val="20"/>
              </w:rPr>
              <w:t xml:space="preserve"> Roma 2012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Enrico Appetecchia (a cura di) </w:t>
            </w:r>
            <w:r>
              <w:rPr>
                <w:i/>
                <w:sz w:val="20"/>
                <w:szCs w:val="20"/>
              </w:rPr>
              <w:t>Idee e movimenti Comunitari</w:t>
            </w:r>
            <w:r>
              <w:rPr>
                <w:sz w:val="20"/>
                <w:szCs w:val="20"/>
              </w:rPr>
              <w:t>, Roma, 2015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Sennett, </w:t>
            </w:r>
            <w:r>
              <w:rPr>
                <w:i/>
                <w:sz w:val="20"/>
                <w:szCs w:val="20"/>
              </w:rPr>
              <w:t>Rispetto,</w:t>
            </w:r>
            <w:r>
              <w:rPr>
                <w:sz w:val="20"/>
                <w:szCs w:val="20"/>
              </w:rPr>
              <w:t xml:space="preserve"> Il Mulino Bologna 2004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Sennett  Lo </w:t>
            </w:r>
            <w:r>
              <w:rPr>
                <w:sz w:val="20"/>
                <w:szCs w:val="20"/>
              </w:rPr>
              <w:t>straniero. Due saggi sull’esilio, Feltrinelli, 2014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Miguel Benasayag Gérard Schmit, </w:t>
            </w:r>
            <w:r>
              <w:rPr>
                <w:i/>
                <w:sz w:val="20"/>
                <w:szCs w:val="20"/>
              </w:rPr>
              <w:t>L’epoca delle passioni tristi</w:t>
            </w:r>
            <w:r>
              <w:rPr>
                <w:sz w:val="20"/>
                <w:szCs w:val="20"/>
              </w:rPr>
              <w:t xml:space="preserve">. Feltrinelli, Roma 2004, </w:t>
            </w:r>
          </w:p>
          <w:p w:rsidR="006E042C" w:rsidRPr="00354BC3" w:rsidRDefault="00831C5C" w:rsidP="0035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S. Allievi, G. Dalla Zuanna, </w:t>
            </w:r>
            <w:r>
              <w:rPr>
                <w:i/>
                <w:sz w:val="20"/>
                <w:szCs w:val="20"/>
              </w:rPr>
              <w:t>Tutto quello che non vi hanno mai detto sull'immigrazione</w:t>
            </w:r>
            <w:r>
              <w:rPr>
                <w:sz w:val="20"/>
                <w:szCs w:val="20"/>
              </w:rPr>
              <w:t>, Laterza, Bari 2016</w:t>
            </w:r>
          </w:p>
        </w:tc>
      </w:tr>
      <w:tr w:rsidR="006E042C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E042C" w:rsidRPr="00354BC3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</w:t>
            </w:r>
          </w:p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di Principi e Fondamenti del Servizio Sociale ha la finalità di introdurre gli studenti ai contenuti del Servizio Sociale Professionale ripercorrendone il percorso storico del suo affermarsi in Italia, e attraverso la conoscenza dei principi e dei</w:t>
            </w:r>
            <w:r>
              <w:rPr>
                <w:sz w:val="20"/>
                <w:szCs w:val="20"/>
              </w:rPr>
              <w:t xml:space="preserve"> fondamenti etici e deontologici della professione di Assistente Sociale. </w:t>
            </w:r>
          </w:p>
          <w:p w:rsidR="006E042C" w:rsidRDefault="006E042C" w:rsidP="00354BC3">
            <w:pPr>
              <w:rPr>
                <w:sz w:val="20"/>
                <w:szCs w:val="20"/>
              </w:rPr>
            </w:pPr>
          </w:p>
        </w:tc>
      </w:tr>
      <w:tr w:rsidR="006E042C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6E042C" w:rsidRDefault="006E042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6E042C" w:rsidRDefault="00831C5C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Inglese:</w:t>
            </w:r>
          </w:p>
          <w:p w:rsidR="006E042C" w:rsidRDefault="00831C5C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course </w:t>
            </w:r>
            <w:r>
              <w:rPr>
                <w:sz w:val="20"/>
                <w:szCs w:val="20"/>
                <w:lang w:val="en-GB"/>
              </w:rPr>
              <w:t>of</w:t>
            </w:r>
            <w:r>
              <w:rPr>
                <w:sz w:val="20"/>
                <w:szCs w:val="20"/>
                <w:lang w:val="en-GB"/>
              </w:rPr>
              <w:t xml:space="preserve"> Principles and Foundations of Social Work is aimed at introducing students to the content of professional social work</w:t>
            </w:r>
            <w:r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</w:t>
            </w:r>
            <w:r>
              <w:rPr>
                <w:sz w:val="20"/>
                <w:szCs w:val="20"/>
                <w:lang w:val="en-GB"/>
              </w:rPr>
              <w:t>evisiting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the historical route of its </w:t>
            </w:r>
            <w:r>
              <w:rPr>
                <w:sz w:val="20"/>
                <w:szCs w:val="20"/>
                <w:lang w:val="en-GB"/>
              </w:rPr>
              <w:t xml:space="preserve">evolution </w:t>
            </w:r>
            <w:r>
              <w:rPr>
                <w:sz w:val="20"/>
                <w:szCs w:val="20"/>
                <w:lang w:val="en-GB"/>
              </w:rPr>
              <w:t>in Italy, by means of transmitting the knowledge of principles and ethic</w:t>
            </w:r>
            <w:r>
              <w:rPr>
                <w:sz w:val="20"/>
                <w:szCs w:val="20"/>
                <w:lang w:val="en-GB"/>
              </w:rPr>
              <w:t xml:space="preserve">al and deontological foundations of the </w:t>
            </w:r>
            <w:r>
              <w:rPr>
                <w:sz w:val="20"/>
                <w:szCs w:val="20"/>
                <w:lang w:val="en-GB"/>
              </w:rPr>
              <w:t>Social Worker</w:t>
            </w:r>
            <w:r>
              <w:rPr>
                <w:sz w:val="20"/>
                <w:szCs w:val="20"/>
                <w:lang w:val="en-GB"/>
              </w:rPr>
              <w:t xml:space="preserve"> profession.</w:t>
            </w:r>
          </w:p>
        </w:tc>
      </w:tr>
      <w:tr w:rsidR="006E042C">
        <w:tc>
          <w:tcPr>
            <w:tcW w:w="1947" w:type="pct"/>
            <w:shd w:val="clear" w:color="auto" w:fill="auto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Nessuno</w:t>
            </w:r>
          </w:p>
        </w:tc>
      </w:tr>
      <w:tr w:rsidR="006E042C"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Metodi </w:t>
            </w:r>
            <w:r>
              <w:rPr>
                <w:sz w:val="20"/>
              </w:rPr>
              <w:t>didattici</w:t>
            </w:r>
          </w:p>
        </w:tc>
        <w:tc>
          <w:tcPr>
            <w:tcW w:w="3053" w:type="pct"/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Lezioni frontali, attività seminariali</w:t>
            </w:r>
          </w:p>
        </w:tc>
      </w:tr>
      <w:tr w:rsidR="006E042C">
        <w:trPr>
          <w:cantSplit/>
          <w:trHeight w:val="933"/>
        </w:trPr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Video, articoli, banche dati.</w:t>
            </w:r>
          </w:p>
          <w:p w:rsidR="006E042C" w:rsidRDefault="006E042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</w:p>
        </w:tc>
      </w:tr>
      <w:tr w:rsidR="006E042C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Italiano:   Orale</w:t>
            </w:r>
          </w:p>
        </w:tc>
      </w:tr>
      <w:tr w:rsidR="006E042C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6E042C" w:rsidRDefault="006E042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6E042C" w:rsidRDefault="00831C5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Inglese: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sz w:val="20"/>
                <w:lang w:val="en-GB"/>
              </w:rPr>
              <w:t xml:space="preserve"> Oral</w:t>
            </w:r>
            <w:r>
              <w:rPr>
                <w:b w:val="0"/>
                <w:sz w:val="20"/>
                <w:lang w:val="en-GB"/>
              </w:rPr>
              <w:t xml:space="preserve"> exam</w:t>
            </w:r>
          </w:p>
        </w:tc>
      </w:tr>
      <w:tr w:rsidR="006E042C">
        <w:trPr>
          <w:trHeight w:val="839"/>
        </w:trPr>
        <w:tc>
          <w:tcPr>
            <w:tcW w:w="1947" w:type="pct"/>
            <w:shd w:val="clear" w:color="auto" w:fill="auto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6E042C" w:rsidRDefault="00831C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042C">
        <w:trPr>
          <w:trHeight w:val="839"/>
        </w:trPr>
        <w:tc>
          <w:tcPr>
            <w:tcW w:w="1947" w:type="pct"/>
            <w:vAlign w:val="center"/>
          </w:tcPr>
          <w:p w:rsidR="006E042C" w:rsidRDefault="00831C5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6E042C" w:rsidRDefault="0083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Nel periodo delle lezioni il </w:t>
            </w:r>
            <w:proofErr w:type="gramStart"/>
            <w:r>
              <w:rPr>
                <w:sz w:val="20"/>
                <w:szCs w:val="20"/>
              </w:rPr>
              <w:t>Mercoledì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54BC3">
              <w:rPr>
                <w:sz w:val="20"/>
                <w:szCs w:val="20"/>
              </w:rPr>
              <w:t xml:space="preserve">dalle </w:t>
            </w:r>
            <w:r>
              <w:rPr>
                <w:sz w:val="20"/>
                <w:szCs w:val="20"/>
              </w:rPr>
              <w:t>1</w:t>
            </w:r>
            <w:r w:rsidR="00354BC3">
              <w:rPr>
                <w:sz w:val="20"/>
                <w:szCs w:val="20"/>
              </w:rPr>
              <w:t xml:space="preserve">7.45 </w:t>
            </w:r>
          </w:p>
          <w:p w:rsidR="006E042C" w:rsidRDefault="006E042C">
            <w:pPr>
              <w:rPr>
                <w:sz w:val="20"/>
                <w:szCs w:val="20"/>
              </w:rPr>
            </w:pPr>
          </w:p>
        </w:tc>
      </w:tr>
    </w:tbl>
    <w:p w:rsidR="006E042C" w:rsidRDefault="006E042C">
      <w:pPr>
        <w:ind w:left="540" w:right="506"/>
        <w:jc w:val="center"/>
        <w:rPr>
          <w:sz w:val="6"/>
          <w:szCs w:val="6"/>
        </w:rPr>
      </w:pPr>
    </w:p>
    <w:p w:rsidR="006E042C" w:rsidRDefault="006E042C">
      <w:pPr>
        <w:ind w:left="540" w:right="506"/>
        <w:jc w:val="center"/>
        <w:rPr>
          <w:sz w:val="6"/>
          <w:szCs w:val="6"/>
        </w:rPr>
      </w:pPr>
    </w:p>
    <w:p w:rsidR="006E042C" w:rsidRDefault="006E042C">
      <w:pPr>
        <w:ind w:left="540" w:right="506"/>
        <w:jc w:val="center"/>
        <w:rPr>
          <w:sz w:val="6"/>
          <w:szCs w:val="6"/>
        </w:rPr>
      </w:pPr>
    </w:p>
    <w:p w:rsidR="006E042C" w:rsidRDefault="006E042C">
      <w:pPr>
        <w:ind w:right="506"/>
        <w:rPr>
          <w:sz w:val="32"/>
          <w:szCs w:val="6"/>
        </w:rPr>
      </w:pPr>
    </w:p>
    <w:p w:rsidR="006E042C" w:rsidRDefault="00831C5C">
      <w:pPr>
        <w:ind w:right="506"/>
        <w:rPr>
          <w:rFonts w:ascii="Calibri" w:hAnsi="Calibri"/>
          <w:b/>
          <w:bCs/>
          <w:sz w:val="28"/>
          <w:szCs w:val="6"/>
        </w:rPr>
      </w:pPr>
      <w:r>
        <w:rPr>
          <w:rFonts w:ascii="Calibri" w:hAnsi="Calibri"/>
          <w:b/>
          <w:bCs/>
          <w:sz w:val="28"/>
          <w:szCs w:val="6"/>
          <w:u w:val="single"/>
        </w:rPr>
        <w:t>Allegati:</w:t>
      </w:r>
      <w:r>
        <w:rPr>
          <w:rFonts w:ascii="Calibri" w:hAnsi="Calibri"/>
          <w:b/>
          <w:bCs/>
          <w:sz w:val="28"/>
          <w:szCs w:val="6"/>
        </w:rPr>
        <w:t xml:space="preserve"> </w:t>
      </w:r>
      <w:r>
        <w:rPr>
          <w:rFonts w:ascii="Calibri" w:hAnsi="Calibri"/>
          <w:b/>
          <w:bCs/>
          <w:sz w:val="28"/>
          <w:szCs w:val="6"/>
        </w:rPr>
        <w:tab/>
        <w:t>- Curriculum Vitae del Docente</w:t>
      </w:r>
    </w:p>
    <w:p w:rsidR="006E042C" w:rsidRDefault="00831C5C">
      <w:pPr>
        <w:ind w:right="506"/>
        <w:rPr>
          <w:sz w:val="32"/>
          <w:szCs w:val="6"/>
        </w:rPr>
      </w:pPr>
      <w:r>
        <w:rPr>
          <w:rFonts w:ascii="Calibri" w:hAnsi="Calibri"/>
          <w:b/>
          <w:bCs/>
          <w:sz w:val="28"/>
          <w:szCs w:val="6"/>
        </w:rPr>
        <w:tab/>
        <w:t xml:space="preserve"> </w:t>
      </w:r>
    </w:p>
    <w:sectPr w:rsidR="006E042C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5C" w:rsidRDefault="00831C5C">
      <w:r>
        <w:separator/>
      </w:r>
    </w:p>
  </w:endnote>
  <w:endnote w:type="continuationSeparator" w:id="0">
    <w:p w:rsidR="00831C5C" w:rsidRDefault="008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42C" w:rsidRDefault="00831C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042C" w:rsidRDefault="006E04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42C" w:rsidRDefault="00831C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E042C" w:rsidRDefault="006E04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5C" w:rsidRDefault="00831C5C">
      <w:r>
        <w:separator/>
      </w:r>
    </w:p>
  </w:footnote>
  <w:footnote w:type="continuationSeparator" w:id="0">
    <w:p w:rsidR="00831C5C" w:rsidRDefault="008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D64DD"/>
    <w:multiLevelType w:val="hybridMultilevel"/>
    <w:tmpl w:val="602837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A22ED"/>
    <w:multiLevelType w:val="hybridMultilevel"/>
    <w:tmpl w:val="3D7C3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20B58"/>
    <w:multiLevelType w:val="hybridMultilevel"/>
    <w:tmpl w:val="4BE852CE"/>
    <w:lvl w:ilvl="0" w:tplc="D95C2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6DD1304B"/>
    <w:multiLevelType w:val="hybridMultilevel"/>
    <w:tmpl w:val="21AE60FC"/>
    <w:lvl w:ilvl="0" w:tplc="310643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E6F54CB"/>
    <w:multiLevelType w:val="hybridMultilevel"/>
    <w:tmpl w:val="6E66AC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2C"/>
    <w:rsid w:val="00354BC3"/>
    <w:rsid w:val="005E0002"/>
    <w:rsid w:val="0064279D"/>
    <w:rsid w:val="006E042C"/>
    <w:rsid w:val="00831C5C"/>
    <w:rsid w:val="00BA0C7A"/>
    <w:rsid w:val="00C45657"/>
    <w:rsid w:val="00CC7F04"/>
    <w:rsid w:val="00F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162C"/>
  <w15:docId w15:val="{AA72986D-87FB-4AE8-A91D-CBF2D887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tin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>Hewlett-Packard</Company>
  <LinksUpToDate>false</LinksUpToDate>
  <CharactersWithSpaces>3593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mailto:foti@unistrada.it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Rita Cutini</cp:lastModifiedBy>
  <cp:revision>4</cp:revision>
  <cp:lastPrinted>2008-07-13T10:12:00Z</cp:lastPrinted>
  <dcterms:created xsi:type="dcterms:W3CDTF">2018-10-30T16:59:00Z</dcterms:created>
  <dcterms:modified xsi:type="dcterms:W3CDTF">2018-10-30T17:08:00Z</dcterms:modified>
</cp:coreProperties>
</file>